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adjustRightInd w:val="0"/>
        <w:snapToGrid w:val="0"/>
        <w:spacing w:before="0" w:after="0" w:line="240" w:lineRule="auto"/>
        <w:jc w:val="left"/>
        <w:rPr>
          <w:rFonts w:ascii="方正小标宋简体" w:hAnsi="方正小标宋简体" w:eastAsia="方正小标宋简体" w:cs="方正小标宋简体"/>
          <w:color w:val="00000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2"/>
          <w:szCs w:val="32"/>
        </w:rPr>
        <w:t>附件2：</w:t>
      </w:r>
    </w:p>
    <w:p>
      <w:pPr>
        <w:pStyle w:val="2"/>
        <w:adjustRightInd w:val="0"/>
        <w:snapToGrid w:val="0"/>
        <w:spacing w:before="0" w:after="0" w:line="240" w:lineRule="auto"/>
        <w:jc w:val="center"/>
        <w:rPr>
          <w:rFonts w:ascii="方正小标宋简体" w:hAnsi="方正小标宋简体" w:eastAsia="方正小标宋简体" w:cs="方正小标宋简体"/>
          <w:color w:val="000000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sz w:val="32"/>
          <w:szCs w:val="32"/>
        </w:rPr>
        <w:t>郑州轻工业大学省部级学科平台</w:t>
      </w:r>
      <w:r>
        <w:rPr>
          <w:rFonts w:ascii="方正小标宋简体" w:hAnsi="方正小标宋简体" w:eastAsia="方正小标宋简体" w:cs="方正小标宋简体"/>
          <w:color w:val="000000"/>
          <w:sz w:val="32"/>
          <w:szCs w:val="32"/>
        </w:rPr>
        <w:t>现场</w:t>
      </w:r>
      <w:r>
        <w:rPr>
          <w:rFonts w:hint="eastAsia" w:ascii="方正小标宋简体" w:hAnsi="方正小标宋简体" w:eastAsia="方正小标宋简体" w:cs="方正小标宋简体"/>
          <w:color w:val="000000"/>
          <w:sz w:val="32"/>
          <w:szCs w:val="32"/>
        </w:rPr>
        <w:t>检查打分</w:t>
      </w:r>
      <w:r>
        <w:rPr>
          <w:rFonts w:ascii="方正小标宋简体" w:hAnsi="方正小标宋简体" w:eastAsia="方正小标宋简体" w:cs="方正小标宋简体"/>
          <w:color w:val="000000"/>
          <w:sz w:val="32"/>
          <w:szCs w:val="32"/>
        </w:rPr>
        <w:t>表</w:t>
      </w:r>
      <w:bookmarkEnd w:id="0"/>
    </w:p>
    <w:p>
      <w:pPr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学科</w:t>
      </w:r>
      <w:r>
        <w:rPr>
          <w:b/>
          <w:sz w:val="32"/>
          <w:szCs w:val="32"/>
        </w:rPr>
        <w:t>平台名称：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57"/>
        <w:gridCol w:w="979"/>
        <w:gridCol w:w="3402"/>
        <w:gridCol w:w="4490"/>
        <w:gridCol w:w="29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57" w:type="dxa"/>
          </w:tcPr>
          <w:p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类别</w:t>
            </w:r>
          </w:p>
        </w:tc>
        <w:tc>
          <w:tcPr>
            <w:tcW w:w="979" w:type="dxa"/>
          </w:tcPr>
          <w:p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序号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现场检查内容</w:t>
            </w:r>
          </w:p>
        </w:tc>
        <w:tc>
          <w:tcPr>
            <w:tcW w:w="4490" w:type="dxa"/>
          </w:tcPr>
          <w:p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检查情况</w:t>
            </w:r>
          </w:p>
        </w:tc>
        <w:tc>
          <w:tcPr>
            <w:tcW w:w="2958" w:type="dxa"/>
          </w:tcPr>
          <w:p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5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基础项</w:t>
            </w:r>
          </w:p>
        </w:tc>
        <w:tc>
          <w:tcPr>
            <w:tcW w:w="979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平台网站</w:t>
            </w:r>
          </w:p>
        </w:tc>
        <w:tc>
          <w:tcPr>
            <w:tcW w:w="4490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58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57" w:type="dxa"/>
            <w:vMerge w:val="continue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79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平台制度</w:t>
            </w:r>
          </w:p>
        </w:tc>
        <w:tc>
          <w:tcPr>
            <w:tcW w:w="4490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58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57" w:type="dxa"/>
            <w:vMerge w:val="continue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79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平台标牌</w:t>
            </w:r>
          </w:p>
        </w:tc>
        <w:tc>
          <w:tcPr>
            <w:tcW w:w="4490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58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57" w:type="dxa"/>
            <w:vMerge w:val="continue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79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成果展示</w:t>
            </w:r>
          </w:p>
        </w:tc>
        <w:tc>
          <w:tcPr>
            <w:tcW w:w="4490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58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57" w:type="dxa"/>
            <w:vMerge w:val="continue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79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cs="Times New Roman"/>
                <w:sz w:val="32"/>
                <w:szCs w:val="32"/>
              </w:rPr>
              <w:t>平台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>环境</w:t>
            </w:r>
          </w:p>
        </w:tc>
        <w:tc>
          <w:tcPr>
            <w:tcW w:w="4490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58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5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特色项</w:t>
            </w:r>
          </w:p>
        </w:tc>
        <w:tc>
          <w:tcPr>
            <w:tcW w:w="979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4490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58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57" w:type="dxa"/>
            <w:vMerge w:val="continue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79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4490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58" w:type="dxa"/>
          </w:tcPr>
          <w:p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/>
    <w:p>
      <w:pPr>
        <w:spacing w:line="360" w:lineRule="auto"/>
        <w:jc w:val="left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注：请在“检查情况”栏打“</w:t>
      </w:r>
      <w:r>
        <w:rPr>
          <w:rFonts w:ascii="Arial" w:hAnsi="Arial" w:eastAsia="仿宋" w:cs="Arial"/>
          <w:sz w:val="30"/>
          <w:szCs w:val="30"/>
        </w:rPr>
        <w:t>√</w:t>
      </w:r>
      <w:r>
        <w:rPr>
          <w:rFonts w:hint="eastAsia" w:ascii="仿宋" w:hAnsi="仿宋" w:eastAsia="仿宋" w:cs="仿宋"/>
          <w:sz w:val="30"/>
          <w:szCs w:val="30"/>
        </w:rPr>
        <w:t>”或“</w:t>
      </w:r>
      <w:r>
        <w:rPr>
          <w:rFonts w:ascii="Arial" w:hAnsi="Arial" w:eastAsia="仿宋" w:cs="Arial"/>
          <w:sz w:val="30"/>
          <w:szCs w:val="30"/>
        </w:rPr>
        <w:t>×</w:t>
      </w:r>
      <w:r>
        <w:rPr>
          <w:rFonts w:hint="eastAsia" w:ascii="仿宋" w:hAnsi="仿宋" w:eastAsia="仿宋" w:cs="仿宋"/>
          <w:sz w:val="30"/>
          <w:szCs w:val="30"/>
        </w:rPr>
        <w:t>”，</w:t>
      </w:r>
      <w:r>
        <w:rPr>
          <w:rFonts w:ascii="仿宋" w:hAnsi="仿宋" w:eastAsia="仿宋" w:cs="仿宋"/>
          <w:sz w:val="30"/>
          <w:szCs w:val="30"/>
        </w:rPr>
        <w:t>本次现场</w:t>
      </w:r>
      <w:r>
        <w:rPr>
          <w:rFonts w:hint="eastAsia" w:ascii="仿宋" w:hAnsi="仿宋" w:eastAsia="仿宋" w:cs="仿宋"/>
          <w:sz w:val="30"/>
          <w:szCs w:val="30"/>
        </w:rPr>
        <w:t>检查只对</w:t>
      </w:r>
      <w:r>
        <w:rPr>
          <w:rFonts w:ascii="仿宋" w:hAnsi="仿宋" w:eastAsia="仿宋" w:cs="仿宋"/>
          <w:sz w:val="30"/>
          <w:szCs w:val="30"/>
        </w:rPr>
        <w:t>结果进行评价，不对效果</w:t>
      </w:r>
      <w:r>
        <w:rPr>
          <w:rFonts w:hint="eastAsia" w:ascii="仿宋" w:hAnsi="仿宋" w:eastAsia="仿宋" w:cs="仿宋"/>
          <w:sz w:val="30"/>
          <w:szCs w:val="30"/>
        </w:rPr>
        <w:t>进行等级</w:t>
      </w:r>
      <w:r>
        <w:rPr>
          <w:rFonts w:ascii="仿宋" w:hAnsi="仿宋" w:eastAsia="仿宋" w:cs="仿宋"/>
          <w:sz w:val="30"/>
          <w:szCs w:val="30"/>
        </w:rPr>
        <w:t>量化，</w:t>
      </w:r>
      <w:r>
        <w:rPr>
          <w:rFonts w:hint="eastAsia" w:ascii="仿宋" w:hAnsi="仿宋" w:eastAsia="仿宋" w:cs="仿宋"/>
          <w:sz w:val="30"/>
          <w:szCs w:val="30"/>
        </w:rPr>
        <w:t>目的</w:t>
      </w:r>
      <w:r>
        <w:rPr>
          <w:rFonts w:ascii="仿宋" w:hAnsi="仿宋" w:eastAsia="仿宋" w:cs="仿宋"/>
          <w:sz w:val="30"/>
          <w:szCs w:val="30"/>
        </w:rPr>
        <w:t>是</w:t>
      </w:r>
      <w:r>
        <w:rPr>
          <w:rFonts w:hint="eastAsia" w:ascii="仿宋" w:hAnsi="仿宋" w:eastAsia="仿宋" w:cs="仿宋"/>
          <w:sz w:val="30"/>
          <w:szCs w:val="30"/>
        </w:rPr>
        <w:t>督促</w:t>
      </w:r>
      <w:r>
        <w:rPr>
          <w:rFonts w:ascii="仿宋" w:hAnsi="仿宋" w:eastAsia="仿宋" w:cs="仿宋"/>
          <w:sz w:val="30"/>
          <w:szCs w:val="30"/>
        </w:rPr>
        <w:t>各学院及相关平台基本条件建设。</w:t>
      </w:r>
    </w:p>
    <w:p/>
    <w:sectPr>
      <w:pgSz w:w="16838" w:h="11906" w:orient="landscape"/>
      <w:pgMar w:top="1417" w:right="1134" w:bottom="1417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cyOWMyNmU2MzVlNmNlNjA0MDM5YjUxODUzMDhlNTgifQ=="/>
  </w:docVars>
  <w:rsids>
    <w:rsidRoot w:val="0015531B"/>
    <w:rsid w:val="001553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2022-09-29T00:32:00Z</dcterms:created>
  <dc:creator>Wulei</dc:creator>
  <cp:lastModifiedBy>Wulei</cp:lastModifiedBy>
  <dcterms:modified xsi:type="dcterms:W3CDTF">2022-09-29T00:32:38Z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F577076772A94D3A9B92086AC875BB01</vt:lpwstr>
  </property>
</Properties>
</file>